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08E" w:rsidRDefault="00FD708E"/>
    <w:p w:rsidR="00FD708E" w:rsidRPr="00FD708E" w:rsidRDefault="00FD708E" w:rsidP="00FD708E"/>
    <w:p w:rsidR="00FD708E" w:rsidRDefault="00FD708E" w:rsidP="00FD708E"/>
    <w:p w:rsidR="00FD708E" w:rsidRDefault="00FD708E" w:rsidP="00FD708E">
      <w:pPr>
        <w:pStyle w:val="1"/>
        <w:spacing w:beforeLines="50" w:before="156" w:afterLines="20" w:after="62"/>
        <w:ind w:firstLineChars="0" w:firstLine="0"/>
        <w:outlineLvl w:val="2"/>
        <w:rPr>
          <w:rFonts w:ascii="微软雅黑" w:eastAsia="微软雅黑" w:hAnsi="微软雅黑"/>
          <w:b/>
          <w:sz w:val="32"/>
          <w:szCs w:val="32"/>
        </w:rPr>
      </w:pPr>
      <w:bookmarkStart w:id="0" w:name="_Toc448446976"/>
      <w:proofErr w:type="spellStart"/>
      <w:r>
        <w:rPr>
          <w:rFonts w:ascii="微软雅黑" w:eastAsia="微软雅黑" w:hAnsi="微软雅黑" w:hint="eastAsia"/>
          <w:b/>
          <w:sz w:val="32"/>
          <w:szCs w:val="32"/>
        </w:rPr>
        <w:t>ClinicalKey</w:t>
      </w:r>
      <w:bookmarkEnd w:id="0"/>
      <w:proofErr w:type="spellEnd"/>
    </w:p>
    <w:p w:rsidR="00FD708E" w:rsidRDefault="00FD708E" w:rsidP="00FD708E">
      <w:pPr>
        <w:pStyle w:val="1"/>
        <w:spacing w:beforeLines="50" w:before="156" w:afterLines="20" w:after="62"/>
        <w:ind w:firstLineChars="0" w:firstLine="0"/>
        <w:rPr>
          <w:rFonts w:ascii="微软雅黑" w:eastAsia="微软雅黑" w:hAnsi="微软雅黑"/>
          <w:b/>
          <w:sz w:val="32"/>
          <w:szCs w:val="32"/>
        </w:rPr>
      </w:pPr>
      <w:r>
        <w:rPr>
          <w:rFonts w:ascii="Times New Roman" w:hAnsi="Times New Roman"/>
          <w:b/>
          <w:noProof/>
          <w:sz w:val="24"/>
        </w:rPr>
        <w:drawing>
          <wp:inline distT="0" distB="0" distL="0" distR="0" wp14:anchorId="2B4AE800" wp14:editId="73B31B05">
            <wp:extent cx="1666875" cy="371475"/>
            <wp:effectExtent l="0" t="0" r="9525" b="9525"/>
            <wp:docPr id="18"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66875" cy="371475"/>
                    </a:xfrm>
                    <a:prstGeom prst="rect">
                      <a:avLst/>
                    </a:prstGeom>
                    <a:noFill/>
                    <a:ln>
                      <a:noFill/>
                    </a:ln>
                  </pic:spPr>
                </pic:pic>
              </a:graphicData>
            </a:graphic>
          </wp:inline>
        </w:drawing>
      </w:r>
    </w:p>
    <w:tbl>
      <w:tblPr>
        <w:tblW w:w="8522" w:type="dxa"/>
        <w:tblBorders>
          <w:top w:val="single" w:sz="4" w:space="0" w:color="auto"/>
          <w:bottom w:val="single" w:sz="4" w:space="0" w:color="auto"/>
        </w:tblBorders>
        <w:tblLayout w:type="fixed"/>
        <w:tblLook w:val="04A0" w:firstRow="1" w:lastRow="0" w:firstColumn="1" w:lastColumn="0" w:noHBand="0" w:noVBand="1"/>
      </w:tblPr>
      <w:tblGrid>
        <w:gridCol w:w="1809"/>
        <w:gridCol w:w="6713"/>
      </w:tblGrid>
      <w:tr w:rsidR="00FD708E" w:rsidTr="009B0629">
        <w:tc>
          <w:tcPr>
            <w:tcW w:w="1809" w:type="dxa"/>
            <w:vAlign w:val="center"/>
          </w:tcPr>
          <w:p w:rsidR="00FD708E" w:rsidRDefault="00FD708E" w:rsidP="009B0629">
            <w:pPr>
              <w:rPr>
                <w:rFonts w:ascii="微软雅黑" w:eastAsia="微软雅黑" w:hAnsi="微软雅黑"/>
                <w:b/>
                <w:kern w:val="0"/>
                <w:sz w:val="20"/>
                <w:szCs w:val="20"/>
              </w:rPr>
            </w:pPr>
            <w:r>
              <w:rPr>
                <w:rFonts w:ascii="微软雅黑" w:eastAsia="微软雅黑" w:hAnsi="微软雅黑" w:hint="eastAsia"/>
                <w:b/>
                <w:kern w:val="0"/>
                <w:sz w:val="20"/>
                <w:szCs w:val="20"/>
              </w:rPr>
              <w:t>简介:</w:t>
            </w:r>
          </w:p>
        </w:tc>
        <w:tc>
          <w:tcPr>
            <w:tcW w:w="6713" w:type="dxa"/>
            <w:vAlign w:val="center"/>
          </w:tcPr>
          <w:p w:rsidR="00FD708E" w:rsidRDefault="00FD708E" w:rsidP="009B0629">
            <w:pPr>
              <w:autoSpaceDE w:val="0"/>
              <w:autoSpaceDN w:val="0"/>
              <w:adjustRightInd w:val="0"/>
              <w:jc w:val="left"/>
              <w:rPr>
                <w:rFonts w:ascii="华文细黑" w:eastAsia="华文细黑" w:hAnsi="华文细黑"/>
                <w:kern w:val="0"/>
                <w:sz w:val="22"/>
                <w:szCs w:val="20"/>
              </w:rPr>
            </w:pPr>
            <w:r>
              <w:rPr>
                <w:rFonts w:ascii="华文细黑" w:eastAsia="华文细黑" w:hAnsi="华文细黑"/>
                <w:kern w:val="0"/>
                <w:sz w:val="22"/>
                <w:szCs w:val="20"/>
              </w:rPr>
              <w:tab/>
            </w:r>
            <w:r>
              <w:rPr>
                <w:rFonts w:ascii="华文细黑" w:eastAsia="华文细黑" w:hAnsi="华文细黑"/>
                <w:kern w:val="0"/>
                <w:sz w:val="22"/>
                <w:szCs w:val="20"/>
              </w:rPr>
              <w:tab/>
            </w:r>
          </w:p>
          <w:p w:rsidR="00FD708E" w:rsidRDefault="00FD708E" w:rsidP="009B0629">
            <w:pPr>
              <w:autoSpaceDE w:val="0"/>
              <w:autoSpaceDN w:val="0"/>
              <w:adjustRightInd w:val="0"/>
              <w:jc w:val="left"/>
              <w:rPr>
                <w:rFonts w:ascii="华文细黑" w:eastAsia="华文细黑" w:hAnsi="华文细黑"/>
                <w:kern w:val="0"/>
                <w:sz w:val="22"/>
                <w:szCs w:val="20"/>
              </w:rPr>
            </w:pPr>
            <w:proofErr w:type="spellStart"/>
            <w:r>
              <w:rPr>
                <w:rFonts w:ascii="华文细黑" w:eastAsia="华文细黑" w:hAnsi="华文细黑"/>
                <w:kern w:val="0"/>
                <w:sz w:val="22"/>
                <w:szCs w:val="20"/>
              </w:rPr>
              <w:t>ClinicalKey</w:t>
            </w:r>
            <w:proofErr w:type="spellEnd"/>
            <w:r>
              <w:rPr>
                <w:rFonts w:ascii="华文细黑" w:eastAsia="华文细黑" w:hAnsi="华文细黑" w:hint="eastAsia"/>
                <w:kern w:val="0"/>
                <w:sz w:val="22"/>
                <w:szCs w:val="20"/>
              </w:rPr>
              <w:t>（下称</w:t>
            </w:r>
            <w:r>
              <w:rPr>
                <w:rFonts w:ascii="华文细黑" w:eastAsia="华文细黑" w:hAnsi="华文细黑"/>
                <w:kern w:val="0"/>
                <w:sz w:val="22"/>
                <w:szCs w:val="20"/>
              </w:rPr>
              <w:t>CK</w:t>
            </w:r>
            <w:r>
              <w:rPr>
                <w:rFonts w:ascii="华文细黑" w:eastAsia="华文细黑" w:hAnsi="华文细黑" w:hint="eastAsia"/>
                <w:kern w:val="0"/>
                <w:sz w:val="22"/>
                <w:szCs w:val="20"/>
              </w:rPr>
              <w:t>）是</w:t>
            </w:r>
            <w:r>
              <w:rPr>
                <w:rFonts w:ascii="华文细黑" w:eastAsia="华文细黑" w:hAnsi="华文细黑"/>
                <w:kern w:val="0"/>
                <w:sz w:val="22"/>
                <w:szCs w:val="20"/>
              </w:rPr>
              <w:t>Elsevier</w:t>
            </w:r>
            <w:r>
              <w:rPr>
                <w:rFonts w:ascii="华文细黑" w:eastAsia="华文细黑" w:hAnsi="华文细黑" w:hint="eastAsia"/>
                <w:kern w:val="0"/>
                <w:sz w:val="22"/>
                <w:szCs w:val="20"/>
              </w:rPr>
              <w:t>推出的全医学平台。</w:t>
            </w:r>
            <w:r>
              <w:rPr>
                <w:rFonts w:ascii="华文细黑" w:eastAsia="华文细黑" w:hAnsi="华文细黑"/>
                <w:kern w:val="0"/>
                <w:sz w:val="22"/>
                <w:szCs w:val="20"/>
              </w:rPr>
              <w:t>CK</w:t>
            </w:r>
            <w:r>
              <w:rPr>
                <w:rFonts w:ascii="华文细黑" w:eastAsia="华文细黑" w:hAnsi="华文细黑" w:hint="eastAsia"/>
                <w:kern w:val="0"/>
                <w:sz w:val="22"/>
                <w:szCs w:val="20"/>
              </w:rPr>
              <w:t>基于</w:t>
            </w:r>
            <w:r>
              <w:rPr>
                <w:rFonts w:ascii="华文细黑" w:eastAsia="华文细黑" w:hAnsi="华文细黑"/>
                <w:kern w:val="0"/>
                <w:sz w:val="22"/>
                <w:szCs w:val="20"/>
              </w:rPr>
              <w:t>Elsevier</w:t>
            </w:r>
            <w:r>
              <w:rPr>
                <w:rFonts w:ascii="华文细黑" w:eastAsia="华文细黑" w:hAnsi="华文细黑" w:hint="eastAsia"/>
                <w:kern w:val="0"/>
                <w:sz w:val="22"/>
                <w:szCs w:val="20"/>
              </w:rPr>
              <w:t>全部医学内容开发，包括期刊（</w:t>
            </w:r>
            <w:r>
              <w:rPr>
                <w:rFonts w:ascii="华文细黑" w:eastAsia="华文细黑" w:hAnsi="华文细黑"/>
                <w:kern w:val="0"/>
                <w:sz w:val="22"/>
                <w:szCs w:val="20"/>
              </w:rPr>
              <w:t>550</w:t>
            </w:r>
            <w:r>
              <w:rPr>
                <w:rFonts w:ascii="华文细黑" w:eastAsia="华文细黑" w:hAnsi="华文细黑" w:hint="eastAsia"/>
                <w:kern w:val="0"/>
                <w:sz w:val="22"/>
                <w:szCs w:val="20"/>
              </w:rPr>
              <w:t>多种）、经典</w:t>
            </w:r>
            <w:proofErr w:type="gramStart"/>
            <w:r>
              <w:rPr>
                <w:rFonts w:ascii="华文细黑" w:eastAsia="华文细黑" w:hAnsi="华文细黑" w:hint="eastAsia"/>
                <w:kern w:val="0"/>
                <w:sz w:val="22"/>
                <w:szCs w:val="20"/>
              </w:rPr>
              <w:t>医学电</w:t>
            </w:r>
            <w:proofErr w:type="gramEnd"/>
            <w:r>
              <w:rPr>
                <w:rFonts w:ascii="华文细黑" w:eastAsia="华文细黑" w:hAnsi="华文细黑" w:hint="eastAsia"/>
                <w:kern w:val="0"/>
                <w:sz w:val="22"/>
                <w:szCs w:val="20"/>
              </w:rPr>
              <w:t>子书（</w:t>
            </w:r>
            <w:r>
              <w:rPr>
                <w:rFonts w:ascii="华文细黑" w:eastAsia="华文细黑" w:hAnsi="华文细黑"/>
                <w:kern w:val="0"/>
                <w:sz w:val="22"/>
                <w:szCs w:val="20"/>
              </w:rPr>
              <w:t>1100</w:t>
            </w:r>
            <w:r>
              <w:rPr>
                <w:rFonts w:ascii="华文细黑" w:eastAsia="华文细黑" w:hAnsi="华文细黑" w:hint="eastAsia"/>
                <w:kern w:val="0"/>
                <w:sz w:val="22"/>
                <w:szCs w:val="20"/>
              </w:rPr>
              <w:t>多种）、视频、图片、药物专论、临床试验、诊疗指南、循证医学等</w:t>
            </w:r>
            <w:r>
              <w:rPr>
                <w:rFonts w:ascii="华文细黑" w:eastAsia="华文细黑" w:hAnsi="华文细黑"/>
                <w:kern w:val="0"/>
                <w:sz w:val="22"/>
                <w:szCs w:val="20"/>
              </w:rPr>
              <w:t>12</w:t>
            </w:r>
            <w:r>
              <w:rPr>
                <w:rFonts w:ascii="华文细黑" w:eastAsia="华文细黑" w:hAnsi="华文细黑" w:hint="eastAsia"/>
                <w:kern w:val="0"/>
                <w:sz w:val="22"/>
                <w:szCs w:val="20"/>
              </w:rPr>
              <w:t>类的资源（各类资源概况如下）。此外</w:t>
            </w:r>
            <w:r>
              <w:rPr>
                <w:rFonts w:ascii="华文细黑" w:eastAsia="华文细黑" w:hAnsi="华文细黑"/>
                <w:kern w:val="0"/>
                <w:sz w:val="22"/>
                <w:szCs w:val="20"/>
              </w:rPr>
              <w:t>CK</w:t>
            </w:r>
            <w:r>
              <w:rPr>
                <w:rFonts w:ascii="华文细黑" w:eastAsia="华文细黑" w:hAnsi="华文细黑" w:hint="eastAsia"/>
                <w:kern w:val="0"/>
                <w:sz w:val="22"/>
                <w:szCs w:val="20"/>
              </w:rPr>
              <w:t>通过自身建立的医学分类法系统</w:t>
            </w:r>
            <w:proofErr w:type="spellStart"/>
            <w:r>
              <w:rPr>
                <w:rFonts w:ascii="华文细黑" w:eastAsia="华文细黑" w:hAnsi="华文细黑"/>
                <w:kern w:val="0"/>
                <w:sz w:val="22"/>
                <w:szCs w:val="20"/>
              </w:rPr>
              <w:t>EMMeT</w:t>
            </w:r>
            <w:proofErr w:type="spellEnd"/>
            <w:r>
              <w:rPr>
                <w:rFonts w:ascii="华文细黑" w:eastAsia="华文细黑" w:hAnsi="华文细黑" w:hint="eastAsia"/>
                <w:kern w:val="0"/>
                <w:sz w:val="22"/>
                <w:szCs w:val="20"/>
              </w:rPr>
              <w:t>提供智能检索功能，检索时自动提示相关概念、疾病、治疗方法等。</w:t>
            </w:r>
            <w:r>
              <w:rPr>
                <w:rFonts w:ascii="华文细黑" w:eastAsia="华文细黑" w:hAnsi="华文细黑"/>
                <w:kern w:val="0"/>
                <w:sz w:val="22"/>
                <w:szCs w:val="20"/>
              </w:rPr>
              <w:tab/>
            </w:r>
          </w:p>
        </w:tc>
      </w:tr>
      <w:tr w:rsidR="00FD708E" w:rsidTr="009B0629">
        <w:tc>
          <w:tcPr>
            <w:tcW w:w="1809" w:type="dxa"/>
            <w:vAlign w:val="center"/>
          </w:tcPr>
          <w:p w:rsidR="00FD708E" w:rsidRDefault="00FD708E" w:rsidP="009B0629">
            <w:pPr>
              <w:rPr>
                <w:rFonts w:ascii="微软雅黑" w:eastAsia="微软雅黑" w:hAnsi="微软雅黑"/>
                <w:b/>
                <w:kern w:val="0"/>
                <w:sz w:val="20"/>
                <w:szCs w:val="20"/>
              </w:rPr>
            </w:pPr>
            <w:r>
              <w:rPr>
                <w:rFonts w:ascii="微软雅黑" w:eastAsia="微软雅黑" w:hAnsi="微软雅黑" w:hint="eastAsia"/>
                <w:b/>
                <w:kern w:val="0"/>
                <w:sz w:val="20"/>
                <w:szCs w:val="20"/>
              </w:rPr>
              <w:t>内容特点：</w:t>
            </w:r>
          </w:p>
        </w:tc>
        <w:tc>
          <w:tcPr>
            <w:tcW w:w="6713" w:type="dxa"/>
            <w:vAlign w:val="center"/>
          </w:tcPr>
          <w:p w:rsidR="00FD708E" w:rsidRDefault="00FD708E" w:rsidP="009B0629">
            <w:pPr>
              <w:autoSpaceDE w:val="0"/>
              <w:autoSpaceDN w:val="0"/>
              <w:adjustRightInd w:val="0"/>
              <w:jc w:val="left"/>
              <w:rPr>
                <w:rFonts w:ascii="华文细黑" w:eastAsia="华文细黑" w:hAnsi="华文细黑"/>
                <w:kern w:val="0"/>
                <w:sz w:val="22"/>
                <w:szCs w:val="20"/>
              </w:rPr>
            </w:pPr>
          </w:p>
          <w:p w:rsidR="00FD708E" w:rsidRDefault="00FD708E" w:rsidP="00FD708E">
            <w:pPr>
              <w:pStyle w:val="1"/>
              <w:numPr>
                <w:ilvl w:val="0"/>
                <w:numId w:val="2"/>
              </w:numPr>
              <w:autoSpaceDE w:val="0"/>
              <w:autoSpaceDN w:val="0"/>
              <w:adjustRightInd w:val="0"/>
              <w:ind w:firstLineChars="0"/>
              <w:jc w:val="left"/>
              <w:rPr>
                <w:rFonts w:ascii="华文细黑" w:eastAsia="华文细黑" w:hAnsi="华文细黑"/>
                <w:kern w:val="0"/>
                <w:sz w:val="22"/>
                <w:szCs w:val="20"/>
              </w:rPr>
            </w:pPr>
            <w:r>
              <w:rPr>
                <w:rFonts w:ascii="华文细黑" w:eastAsia="华文细黑" w:hAnsi="华文细黑" w:hint="eastAsia"/>
                <w:kern w:val="0"/>
                <w:sz w:val="22"/>
                <w:szCs w:val="20"/>
              </w:rPr>
              <w:t>收录北美临床系列期刊50多种。北美临床系列期刊主要内容是最新最精的针对临床疑难文章的专家评论</w:t>
            </w:r>
          </w:p>
          <w:p w:rsidR="00FD708E" w:rsidRDefault="00FD708E" w:rsidP="00FD708E">
            <w:pPr>
              <w:pStyle w:val="1"/>
              <w:numPr>
                <w:ilvl w:val="0"/>
                <w:numId w:val="2"/>
              </w:numPr>
              <w:autoSpaceDE w:val="0"/>
              <w:autoSpaceDN w:val="0"/>
              <w:adjustRightInd w:val="0"/>
              <w:ind w:firstLineChars="0"/>
              <w:jc w:val="left"/>
              <w:rPr>
                <w:rFonts w:ascii="华文细黑" w:eastAsia="华文细黑" w:hAnsi="华文细黑"/>
                <w:kern w:val="0"/>
                <w:sz w:val="22"/>
                <w:szCs w:val="20"/>
              </w:rPr>
            </w:pPr>
            <w:r>
              <w:rPr>
                <w:rFonts w:ascii="华文细黑" w:eastAsia="华文细黑" w:hAnsi="华文细黑" w:hint="eastAsia"/>
                <w:kern w:val="0"/>
                <w:sz w:val="22"/>
                <w:szCs w:val="20"/>
              </w:rPr>
              <w:t>收录如《格氏解剖学》《坎贝尔骨科手术学》等</w:t>
            </w:r>
            <w:proofErr w:type="gramStart"/>
            <w:r>
              <w:rPr>
                <w:rFonts w:ascii="华文细黑" w:eastAsia="华文细黑" w:hAnsi="华文细黑" w:hint="eastAsia"/>
                <w:kern w:val="0"/>
                <w:sz w:val="22"/>
                <w:szCs w:val="20"/>
              </w:rPr>
              <w:t>圣经级</w:t>
            </w:r>
            <w:proofErr w:type="gramEnd"/>
            <w:r>
              <w:rPr>
                <w:rFonts w:ascii="华文细黑" w:eastAsia="华文细黑" w:hAnsi="华文细黑" w:hint="eastAsia"/>
                <w:kern w:val="0"/>
                <w:sz w:val="22"/>
                <w:szCs w:val="20"/>
              </w:rPr>
              <w:t>参考书，《奈特人体解剖图谱》《Robbins基础病理学》等权威教材</w:t>
            </w:r>
          </w:p>
          <w:p w:rsidR="00FD708E" w:rsidRDefault="00FD708E" w:rsidP="00FD708E">
            <w:pPr>
              <w:pStyle w:val="1"/>
              <w:numPr>
                <w:ilvl w:val="0"/>
                <w:numId w:val="2"/>
              </w:numPr>
              <w:autoSpaceDE w:val="0"/>
              <w:autoSpaceDN w:val="0"/>
              <w:adjustRightInd w:val="0"/>
              <w:ind w:firstLineChars="0"/>
              <w:jc w:val="left"/>
              <w:rPr>
                <w:rFonts w:ascii="华文细黑" w:eastAsia="华文细黑" w:hAnsi="华文细黑"/>
                <w:kern w:val="0"/>
                <w:sz w:val="22"/>
                <w:szCs w:val="20"/>
              </w:rPr>
            </w:pPr>
            <w:r>
              <w:rPr>
                <w:rFonts w:ascii="华文细黑" w:eastAsia="华文细黑" w:hAnsi="华文细黑" w:hint="eastAsia"/>
                <w:kern w:val="0"/>
                <w:sz w:val="22"/>
                <w:szCs w:val="20"/>
              </w:rPr>
              <w:t>视频10,000多个，包括Procedures Consult在内的2500多个临床视频</w:t>
            </w:r>
          </w:p>
          <w:p w:rsidR="00FD708E" w:rsidRDefault="00FD708E" w:rsidP="00FD708E">
            <w:pPr>
              <w:pStyle w:val="1"/>
              <w:numPr>
                <w:ilvl w:val="0"/>
                <w:numId w:val="2"/>
              </w:numPr>
              <w:autoSpaceDE w:val="0"/>
              <w:autoSpaceDN w:val="0"/>
              <w:adjustRightInd w:val="0"/>
              <w:ind w:firstLineChars="0"/>
              <w:jc w:val="left"/>
              <w:rPr>
                <w:rFonts w:ascii="华文细黑" w:eastAsia="华文细黑" w:hAnsi="华文细黑"/>
                <w:kern w:val="0"/>
                <w:sz w:val="22"/>
                <w:szCs w:val="20"/>
              </w:rPr>
            </w:pPr>
            <w:r>
              <w:rPr>
                <w:rFonts w:ascii="华文细黑" w:eastAsia="华文细黑" w:hAnsi="华文细黑" w:hint="eastAsia"/>
                <w:kern w:val="0"/>
                <w:sz w:val="22"/>
                <w:szCs w:val="20"/>
              </w:rPr>
              <w:t>循证医学：1,500多个First Consult医学主题</w:t>
            </w:r>
          </w:p>
          <w:p w:rsidR="00FD708E" w:rsidRDefault="00FD708E" w:rsidP="009B0629">
            <w:pPr>
              <w:autoSpaceDE w:val="0"/>
              <w:autoSpaceDN w:val="0"/>
              <w:adjustRightInd w:val="0"/>
              <w:jc w:val="left"/>
              <w:rPr>
                <w:rFonts w:ascii="华文细黑" w:eastAsia="华文细黑" w:hAnsi="华文细黑"/>
                <w:kern w:val="0"/>
                <w:sz w:val="22"/>
                <w:szCs w:val="20"/>
              </w:rPr>
            </w:pPr>
          </w:p>
        </w:tc>
      </w:tr>
      <w:tr w:rsidR="00FD708E" w:rsidTr="009B0629">
        <w:tc>
          <w:tcPr>
            <w:tcW w:w="1809" w:type="dxa"/>
            <w:vAlign w:val="center"/>
          </w:tcPr>
          <w:p w:rsidR="00FD708E" w:rsidRDefault="00FD708E" w:rsidP="009B0629">
            <w:pPr>
              <w:rPr>
                <w:rFonts w:ascii="微软雅黑" w:eastAsia="微软雅黑" w:hAnsi="微软雅黑"/>
                <w:b/>
                <w:kern w:val="0"/>
                <w:sz w:val="20"/>
                <w:szCs w:val="20"/>
              </w:rPr>
            </w:pPr>
            <w:r>
              <w:rPr>
                <w:rFonts w:ascii="微软雅黑" w:eastAsia="微软雅黑" w:hAnsi="微软雅黑" w:hint="eastAsia"/>
                <w:b/>
                <w:kern w:val="0"/>
                <w:sz w:val="20"/>
                <w:szCs w:val="20"/>
              </w:rPr>
              <w:t>检索功能特点：</w:t>
            </w:r>
          </w:p>
        </w:tc>
        <w:tc>
          <w:tcPr>
            <w:tcW w:w="6713" w:type="dxa"/>
            <w:vAlign w:val="center"/>
          </w:tcPr>
          <w:p w:rsidR="00FD708E" w:rsidRDefault="00FD708E" w:rsidP="009B0629">
            <w:pPr>
              <w:autoSpaceDE w:val="0"/>
              <w:autoSpaceDN w:val="0"/>
              <w:adjustRightInd w:val="0"/>
              <w:jc w:val="left"/>
              <w:rPr>
                <w:rFonts w:ascii="华文细黑" w:eastAsia="华文细黑" w:hAnsi="华文细黑"/>
                <w:kern w:val="0"/>
                <w:sz w:val="22"/>
                <w:szCs w:val="20"/>
              </w:rPr>
            </w:pPr>
            <w:r>
              <w:rPr>
                <w:rFonts w:ascii="华文细黑" w:eastAsia="华文细黑" w:hAnsi="华文细黑" w:hint="eastAsia"/>
                <w:kern w:val="0"/>
                <w:sz w:val="22"/>
                <w:szCs w:val="20"/>
              </w:rPr>
              <w:t>输入检索词会自动提示相关的概念</w:t>
            </w:r>
          </w:p>
          <w:p w:rsidR="00FD708E" w:rsidRDefault="00FD708E" w:rsidP="009B0629">
            <w:pPr>
              <w:autoSpaceDE w:val="0"/>
              <w:autoSpaceDN w:val="0"/>
              <w:adjustRightInd w:val="0"/>
              <w:jc w:val="left"/>
              <w:rPr>
                <w:rFonts w:ascii="华文细黑" w:eastAsia="华文细黑" w:hAnsi="华文细黑"/>
                <w:kern w:val="0"/>
                <w:sz w:val="22"/>
                <w:szCs w:val="20"/>
              </w:rPr>
            </w:pPr>
            <w:r>
              <w:rPr>
                <w:rFonts w:ascii="华文细黑" w:eastAsia="华文细黑" w:hAnsi="华文细黑" w:hint="eastAsia"/>
                <w:kern w:val="0"/>
                <w:sz w:val="22"/>
                <w:szCs w:val="20"/>
              </w:rPr>
              <w:t>针对一个检索问题，可同时检索到期刊、图书、视频、循证医学等多种类型的资源</w:t>
            </w:r>
          </w:p>
          <w:p w:rsidR="00FD708E" w:rsidRDefault="00FD708E" w:rsidP="009B0629">
            <w:pPr>
              <w:autoSpaceDE w:val="0"/>
              <w:autoSpaceDN w:val="0"/>
              <w:adjustRightInd w:val="0"/>
              <w:jc w:val="left"/>
              <w:rPr>
                <w:rFonts w:ascii="华文细黑" w:eastAsia="华文细黑" w:hAnsi="华文细黑"/>
                <w:kern w:val="0"/>
                <w:sz w:val="22"/>
                <w:szCs w:val="20"/>
              </w:rPr>
            </w:pPr>
            <w:r>
              <w:rPr>
                <w:rFonts w:ascii="华文细黑" w:eastAsia="华文细黑" w:hAnsi="华文细黑" w:hint="eastAsia"/>
                <w:kern w:val="0"/>
                <w:sz w:val="22"/>
                <w:szCs w:val="20"/>
              </w:rPr>
              <w:t>图书需注册个人账号才可以下载PDF文件</w:t>
            </w:r>
            <w:r>
              <w:rPr>
                <w:rFonts w:ascii="华文细黑" w:eastAsia="华文细黑" w:hAnsi="华文细黑" w:hint="eastAsia"/>
                <w:kern w:val="0"/>
                <w:sz w:val="22"/>
                <w:szCs w:val="20"/>
              </w:rPr>
              <w:t>。同时注册个人账号可在IP范围以外使用数据库。</w:t>
            </w:r>
            <w:bookmarkStart w:id="1" w:name="_GoBack"/>
            <w:bookmarkEnd w:id="1"/>
          </w:p>
        </w:tc>
      </w:tr>
      <w:tr w:rsidR="00FD708E" w:rsidTr="009B0629">
        <w:trPr>
          <w:trHeight w:val="748"/>
        </w:trPr>
        <w:tc>
          <w:tcPr>
            <w:tcW w:w="1809" w:type="dxa"/>
            <w:vAlign w:val="center"/>
          </w:tcPr>
          <w:p w:rsidR="00FD708E" w:rsidRDefault="00FD708E" w:rsidP="009B0629">
            <w:pPr>
              <w:rPr>
                <w:rFonts w:ascii="微软雅黑" w:eastAsia="微软雅黑" w:hAnsi="微软雅黑"/>
                <w:b/>
                <w:kern w:val="0"/>
                <w:sz w:val="20"/>
                <w:szCs w:val="20"/>
              </w:rPr>
            </w:pPr>
            <w:r>
              <w:rPr>
                <w:rFonts w:ascii="微软雅黑" w:eastAsia="微软雅黑" w:hAnsi="微软雅黑" w:hint="eastAsia"/>
                <w:b/>
                <w:kern w:val="0"/>
                <w:sz w:val="20"/>
                <w:szCs w:val="20"/>
              </w:rPr>
              <w:t>学科：</w:t>
            </w:r>
          </w:p>
        </w:tc>
        <w:tc>
          <w:tcPr>
            <w:tcW w:w="6713" w:type="dxa"/>
            <w:vAlign w:val="center"/>
          </w:tcPr>
          <w:p w:rsidR="00FD708E" w:rsidRDefault="00FD708E" w:rsidP="009B0629">
            <w:pPr>
              <w:autoSpaceDE w:val="0"/>
              <w:autoSpaceDN w:val="0"/>
              <w:adjustRightInd w:val="0"/>
              <w:jc w:val="left"/>
              <w:rPr>
                <w:rFonts w:ascii="华文细黑" w:eastAsia="华文细黑" w:hAnsi="华文细黑"/>
                <w:kern w:val="0"/>
                <w:sz w:val="22"/>
                <w:szCs w:val="20"/>
              </w:rPr>
            </w:pPr>
            <w:r>
              <w:rPr>
                <w:rFonts w:ascii="华文细黑" w:eastAsia="华文细黑" w:hAnsi="华文细黑" w:hint="eastAsia"/>
                <w:kern w:val="0"/>
                <w:sz w:val="22"/>
                <w:szCs w:val="20"/>
              </w:rPr>
              <w:t>医学各学科</w:t>
            </w:r>
          </w:p>
        </w:tc>
      </w:tr>
      <w:tr w:rsidR="00FD708E" w:rsidTr="009B0629">
        <w:tc>
          <w:tcPr>
            <w:tcW w:w="1809" w:type="dxa"/>
            <w:vAlign w:val="center"/>
          </w:tcPr>
          <w:p w:rsidR="00FD708E" w:rsidRDefault="00FD708E" w:rsidP="009B0629">
            <w:pPr>
              <w:rPr>
                <w:rFonts w:ascii="微软雅黑" w:eastAsia="微软雅黑" w:hAnsi="微软雅黑"/>
                <w:b/>
                <w:kern w:val="0"/>
                <w:sz w:val="20"/>
                <w:szCs w:val="20"/>
              </w:rPr>
            </w:pPr>
            <w:r>
              <w:rPr>
                <w:rFonts w:ascii="微软雅黑" w:eastAsia="微软雅黑" w:hAnsi="微软雅黑" w:hint="eastAsia"/>
                <w:b/>
                <w:kern w:val="0"/>
                <w:sz w:val="20"/>
                <w:szCs w:val="20"/>
              </w:rPr>
              <w:t>IP开通范围</w:t>
            </w:r>
          </w:p>
        </w:tc>
        <w:tc>
          <w:tcPr>
            <w:tcW w:w="6713" w:type="dxa"/>
            <w:vAlign w:val="center"/>
          </w:tcPr>
          <w:p w:rsidR="00FD708E" w:rsidRDefault="00FD708E" w:rsidP="009B0629">
            <w:pPr>
              <w:autoSpaceDE w:val="0"/>
              <w:autoSpaceDN w:val="0"/>
              <w:adjustRightInd w:val="0"/>
              <w:jc w:val="left"/>
              <w:rPr>
                <w:rFonts w:ascii="华文细黑" w:eastAsia="华文细黑" w:hAnsi="华文细黑"/>
                <w:kern w:val="0"/>
                <w:sz w:val="22"/>
                <w:szCs w:val="20"/>
              </w:rPr>
            </w:pPr>
            <w:r>
              <w:rPr>
                <w:rFonts w:ascii="华文细黑" w:eastAsia="华文细黑" w:hAnsi="华文细黑" w:hint="eastAsia"/>
                <w:kern w:val="0"/>
                <w:sz w:val="22"/>
                <w:szCs w:val="20"/>
              </w:rPr>
              <w:t>京外院所、京内院所、东单校园</w:t>
            </w:r>
          </w:p>
        </w:tc>
      </w:tr>
      <w:tr w:rsidR="00FD708E" w:rsidTr="009B0629">
        <w:tc>
          <w:tcPr>
            <w:tcW w:w="1809" w:type="dxa"/>
            <w:vAlign w:val="center"/>
          </w:tcPr>
          <w:p w:rsidR="00FD708E" w:rsidRDefault="00FD708E" w:rsidP="009B0629">
            <w:pPr>
              <w:rPr>
                <w:rFonts w:ascii="微软雅黑" w:eastAsia="微软雅黑" w:hAnsi="微软雅黑"/>
                <w:b/>
                <w:kern w:val="0"/>
                <w:sz w:val="20"/>
                <w:szCs w:val="20"/>
              </w:rPr>
            </w:pPr>
            <w:r>
              <w:rPr>
                <w:rFonts w:ascii="微软雅黑" w:eastAsia="微软雅黑" w:hAnsi="微软雅黑" w:hint="eastAsia"/>
                <w:b/>
                <w:kern w:val="0"/>
                <w:sz w:val="20"/>
                <w:szCs w:val="20"/>
              </w:rPr>
              <w:t>网址</w:t>
            </w:r>
          </w:p>
        </w:tc>
        <w:tc>
          <w:tcPr>
            <w:tcW w:w="6713" w:type="dxa"/>
            <w:vAlign w:val="center"/>
          </w:tcPr>
          <w:p w:rsidR="00FD708E" w:rsidRDefault="00FD708E" w:rsidP="009B0629">
            <w:pPr>
              <w:autoSpaceDE w:val="0"/>
              <w:autoSpaceDN w:val="0"/>
              <w:adjustRightInd w:val="0"/>
              <w:jc w:val="left"/>
              <w:rPr>
                <w:rFonts w:ascii="华文细黑" w:eastAsia="华文细黑" w:hAnsi="华文细黑"/>
                <w:kern w:val="0"/>
                <w:sz w:val="22"/>
                <w:szCs w:val="20"/>
              </w:rPr>
            </w:pPr>
            <w:r>
              <w:rPr>
                <w:rFonts w:ascii="华文细黑" w:eastAsia="华文细黑" w:hAnsi="华文细黑"/>
                <w:kern w:val="0"/>
                <w:sz w:val="22"/>
                <w:szCs w:val="20"/>
              </w:rPr>
              <w:t>http://www.clinicalkey.com</w:t>
            </w:r>
            <w:r>
              <w:rPr>
                <w:rFonts w:ascii="华文细黑" w:eastAsia="华文细黑" w:hAnsi="华文细黑"/>
                <w:kern w:val="0"/>
                <w:sz w:val="22"/>
                <w:szCs w:val="20"/>
              </w:rPr>
              <w:tab/>
            </w:r>
          </w:p>
        </w:tc>
      </w:tr>
    </w:tbl>
    <w:p w:rsidR="0088137E" w:rsidRPr="00FD708E" w:rsidRDefault="0088137E" w:rsidP="00FD708E"/>
    <w:sectPr w:rsidR="0088137E" w:rsidRPr="00FD70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F30" w:rsidRDefault="00D94F30" w:rsidP="00FD708E">
      <w:r>
        <w:separator/>
      </w:r>
    </w:p>
  </w:endnote>
  <w:endnote w:type="continuationSeparator" w:id="0">
    <w:p w:rsidR="00D94F30" w:rsidRDefault="00D94F30" w:rsidP="00FD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F30" w:rsidRDefault="00D94F30" w:rsidP="00FD708E">
      <w:r>
        <w:separator/>
      </w:r>
    </w:p>
  </w:footnote>
  <w:footnote w:type="continuationSeparator" w:id="0">
    <w:p w:rsidR="00D94F30" w:rsidRDefault="00D94F30" w:rsidP="00FD7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7E51CB"/>
    <w:multiLevelType w:val="multilevel"/>
    <w:tmpl w:val="7C7E51CB"/>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7F566C19"/>
    <w:multiLevelType w:val="multilevel"/>
    <w:tmpl w:val="7F566C19"/>
    <w:lvl w:ilvl="0">
      <w:start w:val="1"/>
      <w:numFmt w:val="decimal"/>
      <w:lvlText w:val="%1."/>
      <w:lvlJc w:val="left"/>
      <w:pPr>
        <w:ind w:left="420" w:hanging="420"/>
      </w:pPr>
      <w:rPr>
        <w:rFonts w:ascii="微软雅黑" w:eastAsia="微软雅黑" w:hAnsi="微软雅黑"/>
        <w:b/>
        <w:sz w:val="3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C7F"/>
    <w:rsid w:val="0088137E"/>
    <w:rsid w:val="00D94F30"/>
    <w:rsid w:val="00E31C7F"/>
    <w:rsid w:val="00FD7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08E"/>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70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708E"/>
    <w:rPr>
      <w:sz w:val="18"/>
      <w:szCs w:val="18"/>
    </w:rPr>
  </w:style>
  <w:style w:type="paragraph" w:styleId="a4">
    <w:name w:val="footer"/>
    <w:basedOn w:val="a"/>
    <w:link w:val="Char0"/>
    <w:uiPriority w:val="99"/>
    <w:unhideWhenUsed/>
    <w:rsid w:val="00FD708E"/>
    <w:pPr>
      <w:tabs>
        <w:tab w:val="center" w:pos="4153"/>
        <w:tab w:val="right" w:pos="8306"/>
      </w:tabs>
      <w:snapToGrid w:val="0"/>
      <w:jc w:val="left"/>
    </w:pPr>
    <w:rPr>
      <w:sz w:val="18"/>
      <w:szCs w:val="18"/>
    </w:rPr>
  </w:style>
  <w:style w:type="character" w:customStyle="1" w:styleId="Char0">
    <w:name w:val="页脚 Char"/>
    <w:basedOn w:val="a0"/>
    <w:link w:val="a4"/>
    <w:uiPriority w:val="99"/>
    <w:rsid w:val="00FD708E"/>
    <w:rPr>
      <w:sz w:val="18"/>
      <w:szCs w:val="18"/>
    </w:rPr>
  </w:style>
  <w:style w:type="paragraph" w:customStyle="1" w:styleId="1">
    <w:name w:val="列出段落1"/>
    <w:basedOn w:val="a"/>
    <w:uiPriority w:val="34"/>
    <w:qFormat/>
    <w:rsid w:val="00FD708E"/>
    <w:pPr>
      <w:ind w:firstLineChars="200" w:firstLine="420"/>
    </w:pPr>
  </w:style>
  <w:style w:type="paragraph" w:styleId="a5">
    <w:name w:val="Balloon Text"/>
    <w:basedOn w:val="a"/>
    <w:link w:val="Char1"/>
    <w:uiPriority w:val="99"/>
    <w:semiHidden/>
    <w:unhideWhenUsed/>
    <w:rsid w:val="00FD708E"/>
    <w:rPr>
      <w:sz w:val="18"/>
      <w:szCs w:val="18"/>
    </w:rPr>
  </w:style>
  <w:style w:type="character" w:customStyle="1" w:styleId="Char1">
    <w:name w:val="批注框文本 Char"/>
    <w:basedOn w:val="a0"/>
    <w:link w:val="a5"/>
    <w:uiPriority w:val="99"/>
    <w:semiHidden/>
    <w:rsid w:val="00FD708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08E"/>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70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708E"/>
    <w:rPr>
      <w:sz w:val="18"/>
      <w:szCs w:val="18"/>
    </w:rPr>
  </w:style>
  <w:style w:type="paragraph" w:styleId="a4">
    <w:name w:val="footer"/>
    <w:basedOn w:val="a"/>
    <w:link w:val="Char0"/>
    <w:uiPriority w:val="99"/>
    <w:unhideWhenUsed/>
    <w:rsid w:val="00FD708E"/>
    <w:pPr>
      <w:tabs>
        <w:tab w:val="center" w:pos="4153"/>
        <w:tab w:val="right" w:pos="8306"/>
      </w:tabs>
      <w:snapToGrid w:val="0"/>
      <w:jc w:val="left"/>
    </w:pPr>
    <w:rPr>
      <w:sz w:val="18"/>
      <w:szCs w:val="18"/>
    </w:rPr>
  </w:style>
  <w:style w:type="character" w:customStyle="1" w:styleId="Char0">
    <w:name w:val="页脚 Char"/>
    <w:basedOn w:val="a0"/>
    <w:link w:val="a4"/>
    <w:uiPriority w:val="99"/>
    <w:rsid w:val="00FD708E"/>
    <w:rPr>
      <w:sz w:val="18"/>
      <w:szCs w:val="18"/>
    </w:rPr>
  </w:style>
  <w:style w:type="paragraph" w:customStyle="1" w:styleId="1">
    <w:name w:val="列出段落1"/>
    <w:basedOn w:val="a"/>
    <w:uiPriority w:val="34"/>
    <w:qFormat/>
    <w:rsid w:val="00FD708E"/>
    <w:pPr>
      <w:ind w:firstLineChars="200" w:firstLine="420"/>
    </w:pPr>
  </w:style>
  <w:style w:type="paragraph" w:styleId="a5">
    <w:name w:val="Balloon Text"/>
    <w:basedOn w:val="a"/>
    <w:link w:val="Char1"/>
    <w:uiPriority w:val="99"/>
    <w:semiHidden/>
    <w:unhideWhenUsed/>
    <w:rsid w:val="00FD708E"/>
    <w:rPr>
      <w:sz w:val="18"/>
      <w:szCs w:val="18"/>
    </w:rPr>
  </w:style>
  <w:style w:type="character" w:customStyle="1" w:styleId="Char1">
    <w:name w:val="批注框文本 Char"/>
    <w:basedOn w:val="a0"/>
    <w:link w:val="a5"/>
    <w:uiPriority w:val="99"/>
    <w:semiHidden/>
    <w:rsid w:val="00FD708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484</Characters>
  <Application>Microsoft Office Word</Application>
  <DocSecurity>0</DocSecurity>
  <Lines>4</Lines>
  <Paragraphs>1</Paragraphs>
  <ScaleCrop>false</ScaleCrop>
  <Company>Microsoft</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zq</dc:creator>
  <cp:keywords/>
  <dc:description/>
  <cp:lastModifiedBy>zq</cp:lastModifiedBy>
  <cp:revision>2</cp:revision>
  <dcterms:created xsi:type="dcterms:W3CDTF">2018-11-14T04:58:00Z</dcterms:created>
  <dcterms:modified xsi:type="dcterms:W3CDTF">2018-11-14T05:00:00Z</dcterms:modified>
</cp:coreProperties>
</file>