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27" w:rsidRDefault="00525D27"/>
    <w:p w:rsidR="00525D27" w:rsidRPr="00525D27" w:rsidRDefault="00525D27" w:rsidP="00525D27"/>
    <w:p w:rsidR="00525D27" w:rsidRDefault="00525D27" w:rsidP="00525D27"/>
    <w:p w:rsidR="00525D27" w:rsidRPr="006C5DB8" w:rsidRDefault="00525D27" w:rsidP="00525D27">
      <w:pPr>
        <w:pStyle w:val="1"/>
        <w:spacing w:beforeLines="50" w:before="156" w:afterLines="20" w:after="62"/>
        <w:ind w:firstLineChars="0" w:firstLine="0"/>
        <w:outlineLvl w:val="2"/>
        <w:rPr>
          <w:rFonts w:ascii="微软雅黑" w:eastAsia="微软雅黑" w:hAnsi="微软雅黑"/>
          <w:b/>
          <w:sz w:val="28"/>
          <w:szCs w:val="32"/>
        </w:rPr>
      </w:pPr>
      <w:bookmarkStart w:id="0" w:name="_Toc448447020"/>
      <w:proofErr w:type="spellStart"/>
      <w:r w:rsidRPr="006C5DB8">
        <w:rPr>
          <w:rFonts w:ascii="微软雅黑" w:eastAsia="微软雅黑" w:hAnsi="微软雅黑" w:hint="eastAsia"/>
          <w:b/>
          <w:sz w:val="28"/>
          <w:szCs w:val="32"/>
        </w:rPr>
        <w:t>Access</w:t>
      </w:r>
      <w:r w:rsidRPr="006C5DB8">
        <w:rPr>
          <w:b/>
          <w:sz w:val="32"/>
          <w:szCs w:val="36"/>
        </w:rPr>
        <w:t>P</w:t>
      </w:r>
      <w:r w:rsidRPr="006C5DB8">
        <w:rPr>
          <w:rFonts w:hint="eastAsia"/>
          <w:b/>
          <w:sz w:val="32"/>
          <w:szCs w:val="36"/>
        </w:rPr>
        <w:t>hysiother</w:t>
      </w:r>
      <w:r w:rsidRPr="006C5DB8">
        <w:rPr>
          <w:rFonts w:ascii="微软雅黑" w:eastAsia="微软雅黑" w:hAnsi="微软雅黑" w:hint="eastAsia"/>
          <w:b/>
          <w:sz w:val="28"/>
          <w:szCs w:val="32"/>
        </w:rPr>
        <w:t>apy</w:t>
      </w:r>
      <w:bookmarkEnd w:id="0"/>
      <w:proofErr w:type="spellEnd"/>
      <w:r w:rsidR="006C5DB8" w:rsidRPr="006C5DB8">
        <w:rPr>
          <w:rFonts w:ascii="微软雅黑" w:eastAsia="微软雅黑" w:hAnsi="微软雅黑" w:hint="eastAsia"/>
          <w:b/>
          <w:sz w:val="28"/>
          <w:szCs w:val="32"/>
        </w:rPr>
        <w:t>数据库</w:t>
      </w:r>
      <w:bookmarkStart w:id="1" w:name="_GoBack"/>
      <w:bookmarkEnd w:id="1"/>
    </w:p>
    <w:tbl>
      <w:tblPr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525D27" w:rsidTr="009B0629">
        <w:tc>
          <w:tcPr>
            <w:tcW w:w="1809" w:type="dxa"/>
            <w:vAlign w:val="center"/>
          </w:tcPr>
          <w:p w:rsidR="00525D27" w:rsidRDefault="00525D27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简介:</w:t>
            </w:r>
          </w:p>
        </w:tc>
        <w:tc>
          <w:tcPr>
            <w:tcW w:w="6713" w:type="dxa"/>
            <w:vAlign w:val="center"/>
          </w:tcPr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在线物理治疗学学习平台，整合物理治疗教学所需的各种类型的资源。包括近20多本经典医学教科书（如《</w:t>
            </w:r>
            <w:r>
              <w:rPr>
                <w:rFonts w:ascii="华文细黑" w:eastAsia="华文细黑" w:hAnsi="华文细黑"/>
                <w:kern w:val="0"/>
                <w:sz w:val="22"/>
                <w:szCs w:val="20"/>
              </w:rPr>
              <w:t>Therapeutic Modalities in Rehabilitation</w:t>
            </w: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》）、500多段康复技术、动力学、物理治疗干预等方面的视频动画、2200道互动测试题(包括北美执业药师资格考试以及有关美国联邦药学法)、病例分析模块、药物信息等。</w:t>
            </w:r>
          </w:p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</w:p>
        </w:tc>
      </w:tr>
      <w:tr w:rsidR="00525D27" w:rsidTr="009B0629">
        <w:tc>
          <w:tcPr>
            <w:tcW w:w="1809" w:type="dxa"/>
            <w:tcBorders>
              <w:top w:val="nil"/>
            </w:tcBorders>
            <w:vAlign w:val="center"/>
          </w:tcPr>
          <w:p w:rsidR="00525D27" w:rsidRDefault="00525D27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检索功能特点：</w:t>
            </w:r>
          </w:p>
        </w:tc>
        <w:tc>
          <w:tcPr>
            <w:tcW w:w="6713" w:type="dxa"/>
            <w:tcBorders>
              <w:top w:val="nil"/>
            </w:tcBorders>
            <w:vAlign w:val="center"/>
          </w:tcPr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提供课程定制功能。教师可以在线创建学习单元、布置学习任务，并随时追踪学习进展。学生也可以登录系统查看教学进度，进行自我检测和管理。</w:t>
            </w:r>
          </w:p>
        </w:tc>
      </w:tr>
      <w:tr w:rsidR="00525D27" w:rsidTr="009B0629">
        <w:trPr>
          <w:trHeight w:val="748"/>
        </w:trPr>
        <w:tc>
          <w:tcPr>
            <w:tcW w:w="1809" w:type="dxa"/>
            <w:vAlign w:val="center"/>
          </w:tcPr>
          <w:p w:rsidR="00525D27" w:rsidRDefault="00525D27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学科：</w:t>
            </w:r>
          </w:p>
        </w:tc>
        <w:tc>
          <w:tcPr>
            <w:tcW w:w="6713" w:type="dxa"/>
            <w:vAlign w:val="center"/>
          </w:tcPr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急诊医学</w:t>
            </w:r>
            <w:r>
              <w:rPr>
                <w:rFonts w:ascii="华文细黑" w:eastAsia="华文细黑" w:hAnsi="华文细黑"/>
                <w:kern w:val="0"/>
                <w:sz w:val="22"/>
                <w:szCs w:val="20"/>
              </w:rPr>
              <w:tab/>
            </w:r>
          </w:p>
        </w:tc>
      </w:tr>
      <w:tr w:rsidR="00525D27" w:rsidTr="009B0629">
        <w:tc>
          <w:tcPr>
            <w:tcW w:w="1809" w:type="dxa"/>
            <w:vAlign w:val="center"/>
          </w:tcPr>
          <w:p w:rsidR="00525D27" w:rsidRDefault="00525D27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IP开通范围</w:t>
            </w:r>
          </w:p>
        </w:tc>
        <w:tc>
          <w:tcPr>
            <w:tcW w:w="6713" w:type="dxa"/>
            <w:vAlign w:val="center"/>
          </w:tcPr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京外院所、京内院所、东单校园</w:t>
            </w:r>
          </w:p>
        </w:tc>
      </w:tr>
      <w:tr w:rsidR="00525D27" w:rsidTr="009B0629">
        <w:tc>
          <w:tcPr>
            <w:tcW w:w="1809" w:type="dxa"/>
            <w:vAlign w:val="center"/>
          </w:tcPr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网址</w:t>
            </w:r>
          </w:p>
        </w:tc>
        <w:tc>
          <w:tcPr>
            <w:tcW w:w="6713" w:type="dxa"/>
            <w:vAlign w:val="center"/>
          </w:tcPr>
          <w:p w:rsidR="00525D27" w:rsidRDefault="00525D27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/>
                <w:kern w:val="0"/>
                <w:sz w:val="22"/>
                <w:szCs w:val="20"/>
              </w:rPr>
              <w:t>http://access</w:t>
            </w: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physiotherapy</w:t>
            </w:r>
            <w:r>
              <w:rPr>
                <w:rFonts w:ascii="华文细黑" w:eastAsia="华文细黑" w:hAnsi="华文细黑"/>
                <w:kern w:val="0"/>
                <w:sz w:val="22"/>
                <w:szCs w:val="20"/>
              </w:rPr>
              <w:t>.mhmedical.com/</w:t>
            </w:r>
          </w:p>
        </w:tc>
      </w:tr>
    </w:tbl>
    <w:p w:rsidR="0088137E" w:rsidRPr="00525D27" w:rsidRDefault="0088137E" w:rsidP="00525D27"/>
    <w:sectPr w:rsidR="0088137E" w:rsidRPr="0052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0" w:rsidRDefault="00DC20D0" w:rsidP="00525D27">
      <w:r>
        <w:separator/>
      </w:r>
    </w:p>
  </w:endnote>
  <w:endnote w:type="continuationSeparator" w:id="0">
    <w:p w:rsidR="00DC20D0" w:rsidRDefault="00DC20D0" w:rsidP="0052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0" w:rsidRDefault="00DC20D0" w:rsidP="00525D27">
      <w:r>
        <w:separator/>
      </w:r>
    </w:p>
  </w:footnote>
  <w:footnote w:type="continuationSeparator" w:id="0">
    <w:p w:rsidR="00DC20D0" w:rsidRDefault="00DC20D0" w:rsidP="0052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4EAF"/>
    <w:multiLevelType w:val="multilevel"/>
    <w:tmpl w:val="6FC94EAF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53"/>
    <w:rsid w:val="00525D27"/>
    <w:rsid w:val="006C5DB8"/>
    <w:rsid w:val="00824053"/>
    <w:rsid w:val="0088137E"/>
    <w:rsid w:val="00D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D2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5D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D2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5D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4</cp:revision>
  <dcterms:created xsi:type="dcterms:W3CDTF">2018-11-14T02:31:00Z</dcterms:created>
  <dcterms:modified xsi:type="dcterms:W3CDTF">2018-11-14T02:32:00Z</dcterms:modified>
</cp:coreProperties>
</file>